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84005C" w:rsidRPr="00626A3F" w:rsidRDefault="0084005C" w:rsidP="002237E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4005C" w:rsidRPr="00E34F5E" w:rsidRDefault="0084005C" w:rsidP="00E34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</w:t>
      </w:r>
      <w:r w:rsidRPr="00CC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ликвидацию очагов африканской чумы свиней», </w:t>
      </w:r>
      <w:r w:rsidRPr="007C1991">
        <w:rPr>
          <w:rFonts w:ascii="Times New Roman" w:hAnsi="Times New Roman" w:cs="Times New Roman"/>
          <w:sz w:val="28"/>
          <w:szCs w:val="28"/>
        </w:rPr>
        <w:t xml:space="preserve">на основании протокола испытаний ФГБУ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«Приморская межобластная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ветеринарная лаборатория»</w:t>
      </w:r>
      <w:r w:rsidR="00A126D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>от 13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 xml:space="preserve">.08.2020 № </w:t>
      </w:r>
      <w:r w:rsidR="00E34F5E" w:rsidRPr="00E34F5E">
        <w:rPr>
          <w:rFonts w:ascii="Times New Roman" w:hAnsi="Times New Roman" w:cs="Times New Roman"/>
          <w:color w:val="000000"/>
          <w:sz w:val="28"/>
          <w:szCs w:val="28"/>
        </w:rPr>
        <w:t>2404/6732ГЗ</w:t>
      </w:r>
      <w:r w:rsidR="00E34F5E" w:rsidRPr="007C1991">
        <w:rPr>
          <w:rFonts w:ascii="Times New Roman" w:hAnsi="Times New Roman" w:cs="Times New Roman"/>
          <w:sz w:val="28"/>
          <w:szCs w:val="28"/>
        </w:rPr>
        <w:t xml:space="preserve"> </w:t>
      </w:r>
      <w:r w:rsidRPr="007C1991">
        <w:rPr>
          <w:rFonts w:ascii="Times New Roman" w:hAnsi="Times New Roman" w:cs="Times New Roman"/>
          <w:sz w:val="28"/>
          <w:szCs w:val="28"/>
        </w:rPr>
        <w:t>и представления</w:t>
      </w:r>
      <w:r w:rsidRPr="00626A3F">
        <w:rPr>
          <w:rFonts w:ascii="Times New Roman" w:hAnsi="Times New Roman" w:cs="Times New Roman"/>
          <w:sz w:val="28"/>
          <w:szCs w:val="28"/>
        </w:rPr>
        <w:t xml:space="preserve"> начальника управления ветеринарии при правительстве Еврейской автономной области – главн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ого государственного ветеринарного инспектора Еврейской автономной области </w:t>
      </w:r>
      <w:r w:rsidR="00E34F5E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B329D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E34F5E">
        <w:rPr>
          <w:rFonts w:ascii="Times New Roman" w:hAnsi="Times New Roman" w:cs="Times New Roman"/>
          <w:sz w:val="28"/>
          <w:szCs w:val="28"/>
        </w:rPr>
        <w:t>01-08/827</w:t>
      </w:r>
      <w:r w:rsidRPr="00B329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африканской чумы</w:t>
      </w:r>
      <w:r w:rsidRPr="00B329D8">
        <w:rPr>
          <w:rFonts w:ascii="Times New Roman" w:hAnsi="Times New Roman" w:cs="Times New Roman"/>
          <w:sz w:val="28"/>
          <w:szCs w:val="28"/>
        </w:rPr>
        <w:t xml:space="preserve"> свиней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9D8">
        <w:rPr>
          <w:rFonts w:ascii="Times New Roman" w:hAnsi="Times New Roman" w:cs="Times New Roman"/>
          <w:sz w:val="28"/>
          <w:szCs w:val="28"/>
        </w:rPr>
        <w:t>на</w:t>
      </w:r>
      <w:r w:rsidR="00E34F5E" w:rsidRPr="00E34F5E">
        <w:rPr>
          <w:rFonts w:ascii="Times New Roman" w:hAnsi="Times New Roman" w:cs="Times New Roman"/>
          <w:sz w:val="28"/>
          <w:szCs w:val="28"/>
        </w:rPr>
        <w:t xml:space="preserve"> территории личного подворья Парсяк Тимофея Григорьевича, расположенного по адресу: Еврейская автономная область, Биробиджанский район, с. Птичник, ул. 40 лет Победы</w:t>
      </w:r>
      <w:r w:rsidR="00E34F5E">
        <w:rPr>
          <w:rFonts w:ascii="Times New Roman" w:hAnsi="Times New Roman" w:cs="Times New Roman"/>
          <w:sz w:val="28"/>
          <w:szCs w:val="28"/>
        </w:rPr>
        <w:t>,</w:t>
      </w:r>
      <w:r w:rsidR="00732734">
        <w:rPr>
          <w:rFonts w:ascii="Times New Roman" w:hAnsi="Times New Roman" w:cs="Times New Roman"/>
          <w:sz w:val="28"/>
          <w:szCs w:val="28"/>
        </w:rPr>
        <w:t xml:space="preserve"> д. 4,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005C" w:rsidRPr="00626A3F" w:rsidRDefault="0084005C" w:rsidP="0022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26A3F">
        <w:rPr>
          <w:rFonts w:ascii="Times New Roman" w:hAnsi="Times New Roman" w:cs="Times New Roman"/>
          <w:sz w:val="28"/>
          <w:szCs w:val="28"/>
        </w:rPr>
        <w:t>по африканской чуме свиней применительно к следующим территориям Еврейской автономной области:</w:t>
      </w:r>
    </w:p>
    <w:p w:rsidR="0084005C" w:rsidRPr="00E34F5E" w:rsidRDefault="0084005C" w:rsidP="00E34F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Признать эпизоотическим очагом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</w:t>
      </w:r>
      <w:r w:rsidRPr="00785DAA">
        <w:rPr>
          <w:rFonts w:ascii="Times New Roman" w:hAnsi="Times New Roman" w:cs="Times New Roman"/>
          <w:sz w:val="28"/>
          <w:szCs w:val="28"/>
        </w:rPr>
        <w:t>территорию личного</w:t>
      </w:r>
      <w:r>
        <w:rPr>
          <w:rFonts w:ascii="Times New Roman" w:hAnsi="Times New Roman" w:cs="Times New Roman"/>
          <w:sz w:val="28"/>
          <w:szCs w:val="28"/>
        </w:rPr>
        <w:t xml:space="preserve"> подворья </w:t>
      </w:r>
      <w:r w:rsidR="00E34F5E" w:rsidRPr="00E34F5E">
        <w:rPr>
          <w:rFonts w:ascii="Times New Roman" w:hAnsi="Times New Roman" w:cs="Times New Roman"/>
          <w:sz w:val="28"/>
          <w:szCs w:val="28"/>
        </w:rPr>
        <w:t>Парсяк Тимофея Григорьевича, расположенного по адресу: Еврейская автономная область, Биробиджанский район, с. Птичник, ул. 40 лет Победы</w:t>
      </w:r>
      <w:r w:rsidR="00732734">
        <w:rPr>
          <w:rFonts w:ascii="Times New Roman" w:hAnsi="Times New Roman" w:cs="Times New Roman"/>
          <w:sz w:val="28"/>
          <w:szCs w:val="28"/>
        </w:rPr>
        <w:t xml:space="preserve">, д. 4. </w:t>
      </w:r>
    </w:p>
    <w:p w:rsidR="0084005C" w:rsidRDefault="0084005C" w:rsidP="00502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инфицированным объектом африканской чумы свиней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животноводческое помещение </w:t>
      </w:r>
      <w:r w:rsidRPr="00785DAA">
        <w:rPr>
          <w:rFonts w:ascii="Times New Roman" w:hAnsi="Times New Roman" w:cs="Times New Roman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подворья </w:t>
      </w:r>
      <w:r w:rsidR="00E34F5E" w:rsidRPr="00E34F5E">
        <w:rPr>
          <w:rFonts w:ascii="Times New Roman" w:hAnsi="Times New Roman" w:cs="Times New Roman"/>
          <w:sz w:val="28"/>
          <w:szCs w:val="28"/>
        </w:rPr>
        <w:t>Парсяк Тимофея Григорьевича</w:t>
      </w:r>
      <w:r w:rsidR="00E34F5E">
        <w:rPr>
          <w:rFonts w:ascii="Times New Roman" w:hAnsi="Times New Roman" w:cs="Times New Roman"/>
          <w:sz w:val="28"/>
          <w:szCs w:val="28"/>
        </w:rPr>
        <w:t>.</w:t>
      </w:r>
    </w:p>
    <w:p w:rsidR="0084005C" w:rsidRPr="00173D25" w:rsidRDefault="0084005C" w:rsidP="00173D25">
      <w:pPr>
        <w:ind w:firstLine="709"/>
        <w:jc w:val="both"/>
        <w:rPr>
          <w:rStyle w:val="212pt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>риканской чуме свиней</w:t>
      </w:r>
      <w:r w:rsidR="00E3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территорию</w:t>
      </w:r>
      <w:r w:rsidRPr="00626A3F">
        <w:rPr>
          <w:rFonts w:ascii="Times New Roman" w:hAnsi="Times New Roman" w:cs="Times New Roman"/>
          <w:sz w:val="28"/>
          <w:szCs w:val="28"/>
        </w:rPr>
        <w:t xml:space="preserve"> в радиусе </w:t>
      </w:r>
      <w:smartTag w:uri="urn:schemas-microsoft-com:office:smarttags" w:element="metricconverter">
        <w:smartTagPr>
          <w:attr w:name="ProductID" w:val="5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а, включая территорию сел </w:t>
      </w:r>
      <w:r w:rsidR="00E34F5E">
        <w:rPr>
          <w:rFonts w:ascii="Times New Roman" w:hAnsi="Times New Roman" w:cs="Times New Roman"/>
          <w:sz w:val="28"/>
          <w:szCs w:val="28"/>
        </w:rPr>
        <w:t>Птични</w:t>
      </w:r>
      <w:r w:rsidR="00E34F5E" w:rsidRPr="00173D25">
        <w:rPr>
          <w:rFonts w:ascii="Times New Roman" w:hAnsi="Times New Roman" w:cs="Times New Roman"/>
          <w:sz w:val="28"/>
          <w:szCs w:val="28"/>
        </w:rPr>
        <w:t>к</w:t>
      </w:r>
      <w:r w:rsidR="00173D25" w:rsidRPr="00173D25">
        <w:rPr>
          <w:rFonts w:ascii="Times New Roman" w:hAnsi="Times New Roman" w:cs="Times New Roman"/>
          <w:sz w:val="28"/>
          <w:szCs w:val="28"/>
        </w:rPr>
        <w:t xml:space="preserve"> Птичнинского сельского поселения Биробиджанского муниципального района Еврейской автономной области</w:t>
      </w:r>
      <w:r w:rsidR="00E34F5E" w:rsidRPr="00173D25">
        <w:rPr>
          <w:rFonts w:ascii="Times New Roman" w:hAnsi="Times New Roman" w:cs="Times New Roman"/>
          <w:sz w:val="28"/>
          <w:szCs w:val="28"/>
        </w:rPr>
        <w:t xml:space="preserve"> </w:t>
      </w:r>
      <w:r w:rsidRPr="00173D25">
        <w:rPr>
          <w:rFonts w:ascii="Times New Roman" w:hAnsi="Times New Roman" w:cs="Times New Roman"/>
          <w:sz w:val="28"/>
          <w:szCs w:val="28"/>
        </w:rPr>
        <w:t xml:space="preserve">и </w:t>
      </w:r>
      <w:r w:rsidR="00E34F5E" w:rsidRPr="00173D25">
        <w:rPr>
          <w:rFonts w:ascii="Times New Roman" w:hAnsi="Times New Roman" w:cs="Times New Roman"/>
          <w:sz w:val="28"/>
          <w:szCs w:val="28"/>
        </w:rPr>
        <w:t xml:space="preserve">Валдгейм </w:t>
      </w:r>
      <w:r w:rsidR="00173D25" w:rsidRPr="00173D25">
        <w:rPr>
          <w:rFonts w:ascii="Times New Roman" w:hAnsi="Times New Roman" w:cs="Times New Roman"/>
          <w:sz w:val="28"/>
          <w:szCs w:val="28"/>
        </w:rPr>
        <w:t xml:space="preserve">Валдгемского </w:t>
      </w:r>
      <w:r w:rsidRPr="00173D25">
        <w:rPr>
          <w:rFonts w:ascii="Times New Roman" w:hAnsi="Times New Roman" w:cs="Times New Roman"/>
          <w:sz w:val="28"/>
          <w:szCs w:val="28"/>
        </w:rPr>
        <w:t>сельского поселения Биробиджанского муниципального района 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следующие территории</w:t>
      </w:r>
      <w:r w:rsidR="00732734" w:rsidRPr="00732734">
        <w:rPr>
          <w:rFonts w:ascii="Times New Roman" w:hAnsi="Times New Roman" w:cs="Times New Roman"/>
          <w:sz w:val="28"/>
          <w:szCs w:val="28"/>
        </w:rPr>
        <w:t xml:space="preserve"> </w:t>
      </w:r>
      <w:r w:rsidR="00732734">
        <w:rPr>
          <w:rFonts w:ascii="Times New Roman" w:hAnsi="Times New Roman" w:cs="Times New Roman"/>
          <w:sz w:val="28"/>
          <w:szCs w:val="28"/>
        </w:rPr>
        <w:t>муниципального образования «Город Биробиджан»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7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>ул. Маяковского, ул. Кавалерийская, пер. Тракторный, пер. Малый, пер. МТС, дома 21,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 с 41 А по 92 по ул. Советской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 xml:space="preserve">, ул. Волочаевская, </w:t>
      </w:r>
      <w:r w:rsidR="007327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E34F5E">
        <w:rPr>
          <w:rFonts w:ascii="Times New Roman" w:hAnsi="Times New Roman" w:cs="Times New Roman"/>
          <w:color w:val="000000"/>
          <w:sz w:val="28"/>
          <w:szCs w:val="28"/>
        </w:rPr>
        <w:t>п. Партизанский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 1 : ул. Ленинградская, дома с 1А по 27 по ул. Коммунальная, ул. Новосибирская, п. Партизанский 2: дома с 3 по 32 по ул. Динамовская, дома с 3 по 9 по пер. Болгарский, дома с 7 по 17 по пер. Деповскому, дома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с 50 по 48 Б по ул. Косникова, дома 5 В и 1 А по ул. Карьерная, </w:t>
      </w:r>
      <w:r w:rsidR="00173D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п. Тукалевский, ул. Питомник, ул. Снежная, </w:t>
      </w:r>
      <w:r w:rsidR="00900979" w:rsidRPr="00173D25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173D25" w:rsidRPr="00173D25">
        <w:rPr>
          <w:rFonts w:ascii="Times New Roman" w:hAnsi="Times New Roman" w:cs="Times New Roman"/>
          <w:color w:val="000000"/>
          <w:sz w:val="28"/>
          <w:szCs w:val="28"/>
        </w:rPr>
        <w:t>. Морозн</w:t>
      </w:r>
      <w:r w:rsidR="00900979" w:rsidRPr="00173D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3D25" w:rsidRPr="00173D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00979" w:rsidRPr="00173D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 ул. Январская, </w:t>
      </w:r>
      <w:r w:rsidR="00173D2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ул. Новогодняя, пос. Мясокомбинат, п. Амурский, п. Кирпичики, 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ул. Смидовичская, ул. 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>Интернациональная, пер. Зим</w:t>
      </w:r>
      <w:r w:rsidR="00900979">
        <w:rPr>
          <w:rFonts w:ascii="Times New Roman" w:hAnsi="Times New Roman" w:cs="Times New Roman"/>
          <w:color w:val="000000"/>
          <w:sz w:val="28"/>
          <w:szCs w:val="28"/>
        </w:rPr>
        <w:t xml:space="preserve">ний, ул. Хабаровская, пер. Авангардский, пер. Вишневый, п. Кирпичики,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дома с 1 по 17 А </w:t>
      </w:r>
      <w:r w:rsidR="00E53E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>по ул. Брянская, дома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с 52 </w:t>
      </w:r>
      <w:r w:rsidR="00E53E00">
        <w:rPr>
          <w:rFonts w:ascii="Times New Roman" w:hAnsi="Times New Roman" w:cs="Times New Roman"/>
          <w:color w:val="000000"/>
          <w:sz w:val="28"/>
          <w:szCs w:val="28"/>
        </w:rPr>
        <w:t xml:space="preserve">по ул. Кубанской по дом 25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по ул. Миллера, </w:t>
      </w:r>
      <w:r w:rsidR="00E53E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ул. Магнитная, ул. Полевая, ул. Детская, ул. Физкультурная, дома с 1 по 7 </w:t>
      </w:r>
      <w:r w:rsidR="00E53E0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по ул. Студенческая, ул. Репина – ул. Новая, пер. Спортивный, 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53E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ул. Молодежная, пер. Угольный, ул. Артельная, пер. Ангарский, 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05A15">
        <w:rPr>
          <w:rFonts w:ascii="Times New Roman" w:hAnsi="Times New Roman" w:cs="Times New Roman"/>
          <w:color w:val="000000"/>
          <w:sz w:val="28"/>
          <w:szCs w:val="28"/>
        </w:rPr>
        <w:t xml:space="preserve">пер. Алмазный, пер. Курильский, пер. Песчаный, пер. </w:t>
      </w:r>
      <w:r w:rsidR="00173D25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Спортивный, </w:t>
      </w:r>
      <w:r w:rsidR="00D168B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73D25">
        <w:rPr>
          <w:rFonts w:ascii="Times New Roman" w:hAnsi="Times New Roman" w:cs="Times New Roman"/>
          <w:color w:val="000000"/>
          <w:sz w:val="28"/>
          <w:szCs w:val="28"/>
        </w:rPr>
        <w:t>пер. Химический</w:t>
      </w:r>
      <w:r w:rsidR="007327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3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005C" w:rsidRDefault="0084005C" w:rsidP="00E40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территорию в радиусе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4005C" w:rsidRPr="00626A3F" w:rsidRDefault="0084005C" w:rsidP="002237E2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</w:t>
      </w:r>
      <w:r w:rsidRPr="00421E01">
        <w:rPr>
          <w:rStyle w:val="2"/>
          <w:color w:val="000000"/>
          <w:sz w:val="28"/>
          <w:szCs w:val="28"/>
        </w:rPr>
        <w:t>эпизоотического очага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84005C" w:rsidRPr="00626A3F" w:rsidRDefault="0084005C" w:rsidP="002237E2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84005C" w:rsidRPr="00626A3F" w:rsidRDefault="0084005C" w:rsidP="00223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D168B9" w:rsidRDefault="00D168B9" w:rsidP="00F2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E050D" w:rsidRDefault="00BE050D" w:rsidP="00BE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8B9">
        <w:rPr>
          <w:rFonts w:ascii="Times New Roman" w:hAnsi="Times New Roman" w:cs="Times New Roman"/>
          <w:sz w:val="28"/>
          <w:szCs w:val="28"/>
        </w:rPr>
        <w:t>ервого заместителя председателя</w:t>
      </w:r>
    </w:p>
    <w:p w:rsidR="00BE050D" w:rsidRPr="00F21744" w:rsidRDefault="00D168B9" w:rsidP="00BE0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 w:rsidR="00BE05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Д.Ф. Братыненко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7A7A71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Птичнинского сельского поселения Биробиджанского 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Pr="009C2FCF">
              <w:rPr>
                <w:rStyle w:val="212pt"/>
                <w:sz w:val="22"/>
                <w:szCs w:val="22"/>
              </w:rPr>
              <w:t>Птичнинского 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дезбарьеров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дезбарьерами, средствами связи. На дорогах установить соответствующие технические средства организации дорожного движения и указатели: «Карантин»,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  <w:r w:rsidR="00E53E00" w:rsidRPr="009C2FCF">
              <w:rPr>
                <w:rStyle w:val="212pt"/>
                <w:sz w:val="22"/>
                <w:szCs w:val="22"/>
              </w:rPr>
              <w:t>управление Россельхознадзора   по Хабаровскому краю и Еврейской автономной области (по согласованию)</w:t>
            </w:r>
            <w:r w:rsidR="00E53E00">
              <w:rPr>
                <w:rStyle w:val="212pt"/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84005C" w:rsidRPr="009C2FCF" w:rsidRDefault="0084005C" w:rsidP="00BE050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автомобильных дорог правительства Еврейской автономной области, управление МВД России по Еврейской автономной области (по согласованию), администрация Птичнинского сельского поселения Биробиджанского муниципального района Еврейской автономной области     (по согласованию),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BE050D" w:rsidRPr="00A126D1">
              <w:rPr>
                <w:rStyle w:val="212pt"/>
                <w:sz w:val="22"/>
                <w:szCs w:val="22"/>
              </w:rPr>
              <w:t>Валдгеймского сельского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 поселения Биробиджанского муниципального района Еврейской автономной области</w:t>
            </w:r>
            <w:r w:rsidR="00A126D1">
              <w:rPr>
                <w:rStyle w:val="212pt"/>
                <w:sz w:val="22"/>
                <w:szCs w:val="22"/>
              </w:rPr>
              <w:t xml:space="preserve">, </w:t>
            </w:r>
            <w:r w:rsidR="00A126D1"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(по согласованию)</w:t>
            </w:r>
            <w:r w:rsidR="00A126D1">
              <w:rPr>
                <w:rStyle w:val="212pt"/>
                <w:sz w:val="22"/>
                <w:szCs w:val="22"/>
              </w:rPr>
              <w:t xml:space="preserve">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     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Дезобработку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дезобработки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госветслужбы сведения         о численности свиней, с указанием числа            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Со дня вступления в силу настоящего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свиней, администрация Птичнинского сельского поселения Биробиджанского муниципального района Еврейской автономной области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4%-ный горячий едкий натр, 3%-ная хлорная известь, 3%-ный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r w:rsidRPr="009C2FCF">
              <w:rPr>
                <w:sz w:val="22"/>
                <w:szCs w:val="22"/>
                <w:shd w:val="clear" w:color="auto" w:fill="FFFFFF"/>
              </w:rPr>
              <w:t>ный глутаровый альдегид, 5%-ный однохлористый йод, 2%-ные формалин (параформальдегид), хлорамин и другие разрешенные препараты с высокой вирулицидной активностью в отношении вируса АЧС,                     в частности, биоциды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Pr="009C2FCF">
              <w:rPr>
                <w:rStyle w:val="212pt"/>
                <w:sz w:val="22"/>
                <w:szCs w:val="22"/>
              </w:rPr>
              <w:t>Птичнинского 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</w:t>
            </w:r>
            <w:r w:rsidRPr="009C2F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(по согласованию)</w:t>
            </w: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1,5%-ный формальдегид, 3%-ныйфоспар или парасод, 1,5%-ный параформ, приготовленный на 0,5%-ном растворе едкого натра,   5%-ный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Владельцы свиней под контролем государственной ветеринарной службы Еврейской автономной области, администрация </w:t>
            </w:r>
            <w:r w:rsidRPr="009C2FCF">
              <w:rPr>
                <w:rStyle w:val="212pt"/>
                <w:sz w:val="22"/>
                <w:szCs w:val="22"/>
              </w:rPr>
              <w:t>Птичнинского 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Верхнюю одежду, белье, головные уборы, спецодежду 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lastRenderedPageBreak/>
              <w:t xml:space="preserve">После проведения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lastRenderedPageBreak/>
              <w:t>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lastRenderedPageBreak/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BE050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 xml:space="preserve">мэрия города муниципального образования «Город Биробиджан»           (по согласованию), 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 xml:space="preserve">мэрия города муниципального образования «Город Биробиджан»           (по согласованию), государственная ветеринарная служба Еврейской автономной области, управление Россельхознадзора по Хабаровскому краю и Еврейской автономной области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(по согласованию), государственная ветеринарная служба Еврейской автономной области, управление Россельхознадзора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 xml:space="preserve">мэрия города муниципального образования «Город Биробиджан»          (по согласованию),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госветслужбы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</w:t>
            </w:r>
            <w:r w:rsidR="00BE050D" w:rsidRPr="009C2FCF">
              <w:rPr>
                <w:rStyle w:val="212pt"/>
                <w:sz w:val="22"/>
                <w:szCs w:val="22"/>
              </w:rPr>
              <w:lastRenderedPageBreak/>
              <w:t xml:space="preserve">(по согласованию), </w:t>
            </w:r>
            <w:r w:rsidRPr="009C2FCF">
              <w:rPr>
                <w:rStyle w:val="212pt"/>
                <w:sz w:val="22"/>
                <w:szCs w:val="22"/>
              </w:rPr>
              <w:t xml:space="preserve">мэрия города муниципального образования «Город Биробиджан»           (по согласованию),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A126D1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Администрация Птичнинского сельского поселения Биробиджанского муниципального района Еврейской автономной области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   </w:t>
            </w:r>
            <w:r w:rsidRPr="009C2FCF">
              <w:rPr>
                <w:rStyle w:val="212pt"/>
                <w:sz w:val="22"/>
                <w:szCs w:val="22"/>
              </w:rPr>
              <w:t xml:space="preserve">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</w:t>
            </w:r>
            <w:r w:rsidR="00BE050D" w:rsidRPr="009C2FCF">
              <w:rPr>
                <w:rStyle w:val="212pt"/>
                <w:sz w:val="22"/>
                <w:szCs w:val="22"/>
              </w:rPr>
              <w:lastRenderedPageBreak/>
              <w:t xml:space="preserve">(по согласованию), </w:t>
            </w:r>
            <w:r w:rsidRPr="009C2FCF">
              <w:rPr>
                <w:rStyle w:val="212pt"/>
                <w:sz w:val="22"/>
                <w:szCs w:val="22"/>
              </w:rPr>
              <w:t xml:space="preserve">мэрия города муниципального образования «Город Биробиджан»          (по согласованию),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A126D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A126D1">
        <w:trPr>
          <w:trHeight w:val="312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дезбарьерами,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  <w:r w:rsidR="00D00A24" w:rsidRPr="009C2FCF">
              <w:rPr>
                <w:rStyle w:val="212pt"/>
                <w:sz w:val="22"/>
                <w:szCs w:val="22"/>
              </w:rPr>
              <w:t>управление Россельхознадзора   по Хабаровскому краю и Еврейской автономной области (по согласованию)</w:t>
            </w:r>
            <w:r w:rsidR="00D00A24">
              <w:rPr>
                <w:rStyle w:val="212pt"/>
                <w:sz w:val="22"/>
                <w:szCs w:val="22"/>
              </w:rPr>
              <w:t>,</w:t>
            </w:r>
            <w:r w:rsidR="00D00A24" w:rsidRPr="009C2FCF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>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BE050D">
              <w:rPr>
                <w:rStyle w:val="212pt"/>
                <w:sz w:val="22"/>
                <w:szCs w:val="22"/>
              </w:rPr>
              <w:t>а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BE050D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BE050D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</w:t>
            </w:r>
            <w:r w:rsidR="00A126D1">
              <w:rPr>
                <w:rStyle w:val="212pt"/>
                <w:sz w:val="22"/>
                <w:szCs w:val="22"/>
              </w:rPr>
              <w:t>д Биробиджан»           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Перевозка свиней автомобильным транспортом осуществляется в сопровождении лица, ответственного за сдачу свиней, и специалиста госветслужбы.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администрация Птичнинского сельского поселения Биробиджанского муниципального района Еврейской автономной области   (по согласованию), </w:t>
            </w:r>
            <w:r w:rsidR="00A126D1">
              <w:rPr>
                <w:rStyle w:val="212pt"/>
                <w:sz w:val="22"/>
                <w:szCs w:val="22"/>
              </w:rPr>
              <w:t>а</w:t>
            </w:r>
            <w:r w:rsidR="00A126D1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A126D1">
              <w:rPr>
                <w:rStyle w:val="212pt"/>
                <w:sz w:val="22"/>
                <w:szCs w:val="22"/>
              </w:rPr>
              <w:t xml:space="preserve">Валдгеймского </w:t>
            </w:r>
            <w:r w:rsidR="00A126D1" w:rsidRPr="009C2FCF">
              <w:rPr>
                <w:rStyle w:val="212pt"/>
                <w:sz w:val="22"/>
                <w:szCs w:val="22"/>
              </w:rPr>
              <w:t xml:space="preserve">сельского поселения Биробиджанского муниципального района Еврейской </w:t>
            </w:r>
            <w:r w:rsidR="00A126D1" w:rsidRPr="009C2FCF">
              <w:rPr>
                <w:rStyle w:val="212pt"/>
                <w:sz w:val="22"/>
                <w:szCs w:val="22"/>
              </w:rPr>
              <w:lastRenderedPageBreak/>
              <w:t xml:space="preserve">автономной области   (по согласованию), </w:t>
            </w:r>
            <w:r w:rsidRPr="009C2FCF">
              <w:rPr>
                <w:rStyle w:val="212pt"/>
                <w:sz w:val="22"/>
                <w:szCs w:val="22"/>
              </w:rPr>
              <w:t>мэрия города муниципального образования «Город Биробиджан»          (по согласованию), 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A126D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71" w:rsidRDefault="007A7A71">
      <w:r>
        <w:separator/>
      </w:r>
    </w:p>
  </w:endnote>
  <w:endnote w:type="continuationSeparator" w:id="0">
    <w:p w:rsidR="007A7A71" w:rsidRDefault="007A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09164C" w:rsidRDefault="0084005C" w:rsidP="0009164C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</w:p>
  <w:p w:rsidR="0084005C" w:rsidRDefault="0084005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09164C" w:rsidRDefault="0084005C" w:rsidP="0009164C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71" w:rsidRDefault="007A7A71">
      <w:r>
        <w:separator/>
      </w:r>
    </w:p>
  </w:footnote>
  <w:footnote w:type="continuationSeparator" w:id="0">
    <w:p w:rsidR="007A7A71" w:rsidRDefault="007A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E53E00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E53E00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3A24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D25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05D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8D9"/>
    <w:rsid w:val="00705A15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2734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A7A71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979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FFD"/>
    <w:rsid w:val="00931086"/>
    <w:rsid w:val="0093179F"/>
    <w:rsid w:val="0093239D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6D1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50D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24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68B9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CA1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4F5E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E00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6</cp:revision>
  <cp:lastPrinted>2020-08-10T06:23:00Z</cp:lastPrinted>
  <dcterms:created xsi:type="dcterms:W3CDTF">2020-08-17T05:05:00Z</dcterms:created>
  <dcterms:modified xsi:type="dcterms:W3CDTF">2020-08-18T04:53:00Z</dcterms:modified>
</cp:coreProperties>
</file>